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417D" w14:textId="1B598B67" w:rsidR="00F04986" w:rsidRDefault="00F04986" w:rsidP="00F04986">
      <w:pPr>
        <w:tabs>
          <w:tab w:val="left" w:pos="4890"/>
        </w:tabs>
        <w:rPr>
          <w:b/>
          <w:color w:val="000000"/>
          <w:sz w:val="28"/>
          <w:szCs w:val="28"/>
        </w:rPr>
      </w:pPr>
      <w:r>
        <w:rPr>
          <w:b/>
          <w:color w:val="000000"/>
          <w:sz w:val="28"/>
          <w:szCs w:val="28"/>
        </w:rPr>
        <w:t xml:space="preserve">PHỤ LỤC </w:t>
      </w:r>
      <w:r>
        <w:rPr>
          <w:b/>
          <w:color w:val="000000"/>
          <w:sz w:val="28"/>
          <w:szCs w:val="28"/>
        </w:rPr>
        <w:t xml:space="preserve"> 3.</w:t>
      </w:r>
    </w:p>
    <w:p w14:paraId="6B6C1F58" w14:textId="77777777" w:rsidR="00F04986" w:rsidRDefault="00F04986" w:rsidP="00F04986">
      <w:pPr>
        <w:tabs>
          <w:tab w:val="left" w:pos="4890"/>
        </w:tabs>
        <w:jc w:val="center"/>
        <w:rPr>
          <w:b/>
          <w:bCs/>
          <w:sz w:val="28"/>
          <w:szCs w:val="28"/>
          <w:lang w:eastAsia="vi-VN"/>
        </w:rPr>
      </w:pPr>
    </w:p>
    <w:p w14:paraId="0E253D1E" w14:textId="54F2D1F7" w:rsidR="00F04986" w:rsidRPr="00A41E59" w:rsidRDefault="00F04986" w:rsidP="00F04986">
      <w:pPr>
        <w:tabs>
          <w:tab w:val="left" w:pos="4890"/>
        </w:tabs>
        <w:jc w:val="center"/>
        <w:rPr>
          <w:b/>
          <w:bCs/>
          <w:sz w:val="28"/>
          <w:szCs w:val="28"/>
          <w:lang w:eastAsia="vi-VN"/>
        </w:rPr>
      </w:pPr>
      <w:r w:rsidRPr="00A41E59">
        <w:rPr>
          <w:b/>
          <w:bCs/>
          <w:sz w:val="28"/>
          <w:szCs w:val="28"/>
          <w:lang w:eastAsia="vi-VN"/>
        </w:rPr>
        <w:t xml:space="preserve">HƯỚNG DẪN </w:t>
      </w:r>
      <w:r>
        <w:rPr>
          <w:b/>
          <w:bCs/>
          <w:sz w:val="28"/>
          <w:szCs w:val="28"/>
          <w:lang w:eastAsia="vi-VN"/>
        </w:rPr>
        <w:t xml:space="preserve">NỘI DUNG </w:t>
      </w:r>
      <w:r w:rsidRPr="00A41E59">
        <w:rPr>
          <w:b/>
          <w:bCs/>
          <w:sz w:val="28"/>
          <w:szCs w:val="28"/>
          <w:lang w:eastAsia="vi-VN"/>
        </w:rPr>
        <w:t>TỔ CHỨC KHÁM SỨC KHỎE ĐỊNH KỲ</w:t>
      </w:r>
    </w:p>
    <w:p w14:paraId="1AC43B46" w14:textId="77777777" w:rsidR="00F04986" w:rsidRDefault="00F04986" w:rsidP="00F04986">
      <w:pPr>
        <w:tabs>
          <w:tab w:val="left" w:pos="1641"/>
        </w:tabs>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7654"/>
        <w:gridCol w:w="3626"/>
      </w:tblGrid>
      <w:tr w:rsidR="00F04986" w14:paraId="615FFE81" w14:textId="77777777" w:rsidTr="00B46F43">
        <w:tc>
          <w:tcPr>
            <w:tcW w:w="959" w:type="dxa"/>
          </w:tcPr>
          <w:p w14:paraId="7522A440" w14:textId="77777777" w:rsidR="00F04986" w:rsidRDefault="00F04986" w:rsidP="00B46F43">
            <w:pPr>
              <w:tabs>
                <w:tab w:val="left" w:pos="1641"/>
              </w:tabs>
              <w:jc w:val="center"/>
              <w:rPr>
                <w:b/>
                <w:bCs/>
                <w:sz w:val="28"/>
                <w:szCs w:val="28"/>
              </w:rPr>
            </w:pPr>
            <w:r>
              <w:rPr>
                <w:b/>
                <w:bCs/>
                <w:sz w:val="28"/>
                <w:szCs w:val="28"/>
              </w:rPr>
              <w:t>STT</w:t>
            </w:r>
          </w:p>
        </w:tc>
        <w:tc>
          <w:tcPr>
            <w:tcW w:w="2268" w:type="dxa"/>
          </w:tcPr>
          <w:p w14:paraId="4D041174" w14:textId="77777777" w:rsidR="00F04986" w:rsidRDefault="00F04986" w:rsidP="00B46F43">
            <w:pPr>
              <w:tabs>
                <w:tab w:val="left" w:pos="1641"/>
              </w:tabs>
              <w:jc w:val="center"/>
              <w:rPr>
                <w:b/>
                <w:bCs/>
                <w:sz w:val="28"/>
                <w:szCs w:val="28"/>
              </w:rPr>
            </w:pPr>
            <w:r>
              <w:rPr>
                <w:b/>
                <w:bCs/>
                <w:sz w:val="28"/>
                <w:szCs w:val="28"/>
              </w:rPr>
              <w:t>Đối tượng</w:t>
            </w:r>
          </w:p>
        </w:tc>
        <w:tc>
          <w:tcPr>
            <w:tcW w:w="7654" w:type="dxa"/>
          </w:tcPr>
          <w:p w14:paraId="301E5FB1" w14:textId="77777777" w:rsidR="00F04986" w:rsidRDefault="00F04986" w:rsidP="00B46F43">
            <w:pPr>
              <w:tabs>
                <w:tab w:val="left" w:pos="1641"/>
              </w:tabs>
              <w:jc w:val="center"/>
              <w:rPr>
                <w:b/>
                <w:bCs/>
                <w:sz w:val="28"/>
                <w:szCs w:val="28"/>
              </w:rPr>
            </w:pPr>
            <w:r>
              <w:rPr>
                <w:b/>
                <w:bCs/>
                <w:iCs/>
                <w:sz w:val="28"/>
                <w:szCs w:val="28"/>
              </w:rPr>
              <w:t>Nội dung khám sức khỏe định kỳ</w:t>
            </w:r>
          </w:p>
        </w:tc>
        <w:tc>
          <w:tcPr>
            <w:tcW w:w="3626" w:type="dxa"/>
          </w:tcPr>
          <w:p w14:paraId="1849C6E5" w14:textId="77777777" w:rsidR="00F04986" w:rsidRDefault="00F04986" w:rsidP="00B46F43">
            <w:pPr>
              <w:tabs>
                <w:tab w:val="left" w:pos="1641"/>
              </w:tabs>
              <w:jc w:val="center"/>
              <w:rPr>
                <w:b/>
                <w:bCs/>
                <w:sz w:val="28"/>
                <w:szCs w:val="28"/>
              </w:rPr>
            </w:pPr>
            <w:r>
              <w:rPr>
                <w:b/>
                <w:bCs/>
                <w:sz w:val="28"/>
                <w:szCs w:val="28"/>
                <w:lang w:eastAsia="en-GB"/>
              </w:rPr>
              <w:t>Cận lâm sàng (nếu có)</w:t>
            </w:r>
          </w:p>
        </w:tc>
      </w:tr>
      <w:tr w:rsidR="00F04986" w14:paraId="050C17B9" w14:textId="77777777" w:rsidTr="00B46F43">
        <w:tc>
          <w:tcPr>
            <w:tcW w:w="959" w:type="dxa"/>
          </w:tcPr>
          <w:p w14:paraId="3AB3875C" w14:textId="77777777" w:rsidR="00F04986" w:rsidRDefault="00F04986" w:rsidP="00B46F43">
            <w:pPr>
              <w:tabs>
                <w:tab w:val="left" w:pos="1641"/>
              </w:tabs>
              <w:jc w:val="center"/>
              <w:rPr>
                <w:sz w:val="28"/>
                <w:szCs w:val="28"/>
              </w:rPr>
            </w:pPr>
            <w:r>
              <w:rPr>
                <w:sz w:val="28"/>
                <w:szCs w:val="28"/>
              </w:rPr>
              <w:t>1</w:t>
            </w:r>
          </w:p>
        </w:tc>
        <w:tc>
          <w:tcPr>
            <w:tcW w:w="2268" w:type="dxa"/>
          </w:tcPr>
          <w:p w14:paraId="145CAEDD" w14:textId="77777777" w:rsidR="00F04986" w:rsidRDefault="00F04986" w:rsidP="00B46F43">
            <w:pPr>
              <w:tabs>
                <w:tab w:val="left" w:pos="1641"/>
              </w:tabs>
              <w:rPr>
                <w:sz w:val="28"/>
                <w:szCs w:val="28"/>
              </w:rPr>
            </w:pPr>
            <w:r>
              <w:rPr>
                <w:sz w:val="28"/>
                <w:szCs w:val="28"/>
                <w:lang w:eastAsia="en-GB"/>
              </w:rPr>
              <w:t>Trẻ em dưới 06 tuổi</w:t>
            </w:r>
          </w:p>
        </w:tc>
        <w:tc>
          <w:tcPr>
            <w:tcW w:w="7654" w:type="dxa"/>
          </w:tcPr>
          <w:p w14:paraId="42AD10FA" w14:textId="77777777" w:rsidR="00F04986" w:rsidRDefault="00F04986" w:rsidP="00B46F43">
            <w:pPr>
              <w:rPr>
                <w:sz w:val="28"/>
                <w:szCs w:val="28"/>
                <w:lang w:val="vi-VN" w:eastAsia="en-GB"/>
              </w:rPr>
            </w:pPr>
            <w:r>
              <w:rPr>
                <w:sz w:val="28"/>
                <w:szCs w:val="28"/>
                <w:lang w:eastAsia="en-GB"/>
              </w:rPr>
              <w:t xml:space="preserve">Thực hiện theo Quyết định số 1284/QĐ-BYT ngày 07/5/2026 của Bộ trưởng Bộ Y tế về Hướng dẫn nội dung chuyên môn khám sức khỏe định kỳ cho trẻ em dưới 06 tuổi. Nội dung khám được phân theo từng nhóm tuổi phát triển, bao gồm: đánh giá dấu hiệu sinh tồn; đánh giá dinh dưỡng; đánh giá phát triển tinh thần - vận động; đánh giá tiêm chủng; khám lâm sàng toàn diện; phát hiện sớm dị tật, rối loạn phát triển và tư vấn sức khỏe. Cụ thể theo từng nhóm tuổi: </w:t>
            </w:r>
          </w:p>
          <w:p w14:paraId="0471259C" w14:textId="77777777" w:rsidR="00F04986" w:rsidRDefault="00F04986" w:rsidP="00B46F43">
            <w:pPr>
              <w:rPr>
                <w:sz w:val="28"/>
                <w:szCs w:val="28"/>
                <w:lang w:val="vi-VN" w:eastAsia="en-GB"/>
              </w:rPr>
            </w:pPr>
            <w:r>
              <w:rPr>
                <w:sz w:val="28"/>
                <w:szCs w:val="28"/>
                <w:lang w:eastAsia="en-GB"/>
              </w:rPr>
              <w:t xml:space="preserve">- Trẻ 0 - dưới 2 tháng tuổi: đánh giá thích nghi sau sinh, phản xạ sơ sinh, bú mẹ, sàng lọc sơ sinh, phát hiện dị tật bẩm sinh. </w:t>
            </w:r>
          </w:p>
          <w:p w14:paraId="03BC7C89" w14:textId="77777777" w:rsidR="00F04986" w:rsidRDefault="00F04986" w:rsidP="00B46F43">
            <w:pPr>
              <w:rPr>
                <w:sz w:val="28"/>
                <w:szCs w:val="28"/>
                <w:lang w:val="vi-VN" w:eastAsia="en-GB"/>
              </w:rPr>
            </w:pPr>
            <w:r>
              <w:rPr>
                <w:sz w:val="28"/>
                <w:szCs w:val="28"/>
                <w:lang w:eastAsia="en-GB"/>
              </w:rPr>
              <w:t xml:space="preserve">- Trẻ 2 - 3 tháng tuổi: đánh giá phát triển thần kinh sớm, phản ứng với âm thanh, hình ảnh, cười mỉm, nhấc đầu. </w:t>
            </w:r>
          </w:p>
          <w:p w14:paraId="71024359" w14:textId="77777777" w:rsidR="00F04986" w:rsidRDefault="00F04986" w:rsidP="00B46F43">
            <w:pPr>
              <w:rPr>
                <w:sz w:val="28"/>
                <w:szCs w:val="28"/>
                <w:lang w:val="vi-VN" w:eastAsia="en-GB"/>
              </w:rPr>
            </w:pPr>
            <w:r>
              <w:rPr>
                <w:sz w:val="28"/>
                <w:szCs w:val="28"/>
                <w:lang w:eastAsia="en-GB"/>
              </w:rPr>
              <w:t xml:space="preserve">- Trẻ 4 - 6 tháng tuổi: đánh giá lẫy, cầm nắm, giữ đầu, phối hợp tay mắt. </w:t>
            </w:r>
          </w:p>
          <w:p w14:paraId="7EDE9448" w14:textId="77777777" w:rsidR="00F04986" w:rsidRDefault="00F04986" w:rsidP="00B46F43">
            <w:pPr>
              <w:rPr>
                <w:sz w:val="28"/>
                <w:szCs w:val="28"/>
                <w:lang w:val="vi-VN" w:eastAsia="en-GB"/>
              </w:rPr>
            </w:pPr>
            <w:r>
              <w:rPr>
                <w:sz w:val="28"/>
                <w:szCs w:val="28"/>
                <w:lang w:eastAsia="en-GB"/>
              </w:rPr>
              <w:t xml:space="preserve">- Trẻ 7 - 9 tháng tuổi: đánh giá nhận biết lạ - quen, ngồi không cần hỗ trợ, đứng khi được xốc nách. </w:t>
            </w:r>
          </w:p>
          <w:p w14:paraId="3BEB7E2D" w14:textId="77777777" w:rsidR="00F04986" w:rsidRDefault="00F04986" w:rsidP="00B46F43">
            <w:pPr>
              <w:rPr>
                <w:sz w:val="28"/>
                <w:szCs w:val="28"/>
                <w:lang w:val="vi-VN" w:eastAsia="en-GB"/>
              </w:rPr>
            </w:pPr>
            <w:r>
              <w:rPr>
                <w:sz w:val="28"/>
                <w:szCs w:val="28"/>
                <w:lang w:eastAsia="en-GB"/>
              </w:rPr>
              <w:t xml:space="preserve">- Trẻ 10 - 12 tháng tuổi: đánh giá hiểu ngôn ngữ đơn giản, đứng vịn, bắt chước động tác. </w:t>
            </w:r>
          </w:p>
          <w:p w14:paraId="54544D1A" w14:textId="77777777" w:rsidR="00F04986" w:rsidRDefault="00F04986" w:rsidP="00B46F43">
            <w:pPr>
              <w:rPr>
                <w:sz w:val="28"/>
                <w:szCs w:val="28"/>
                <w:lang w:val="vi-VN" w:eastAsia="en-GB"/>
              </w:rPr>
            </w:pPr>
            <w:r>
              <w:rPr>
                <w:sz w:val="28"/>
                <w:szCs w:val="28"/>
                <w:lang w:eastAsia="en-GB"/>
              </w:rPr>
              <w:t xml:space="preserve">- Trẻ 13 - 18 tháng tuổi: đánh giá phát triển ngôn ngữ, khả năng đi lại, hành vi xã hội. </w:t>
            </w:r>
          </w:p>
          <w:p w14:paraId="411EC699" w14:textId="77777777" w:rsidR="00F04986" w:rsidRDefault="00F04986" w:rsidP="00B46F43">
            <w:pPr>
              <w:rPr>
                <w:sz w:val="28"/>
                <w:szCs w:val="28"/>
                <w:lang w:val="vi-VN" w:eastAsia="en-GB"/>
              </w:rPr>
            </w:pPr>
            <w:r>
              <w:rPr>
                <w:sz w:val="28"/>
                <w:szCs w:val="28"/>
                <w:lang w:eastAsia="en-GB"/>
              </w:rPr>
              <w:t xml:space="preserve">- Trẻ 19 - dưới 24 tháng tuổi: đánh giá nói từ ghép, kỹ năng tự phục vụ, phối hợp vận động phức tạp. </w:t>
            </w:r>
          </w:p>
          <w:p w14:paraId="54B5A17D" w14:textId="77777777" w:rsidR="00F04986" w:rsidRDefault="00F04986" w:rsidP="00B46F43">
            <w:pPr>
              <w:rPr>
                <w:sz w:val="28"/>
                <w:szCs w:val="28"/>
                <w:lang w:val="vi-VN" w:eastAsia="en-GB"/>
              </w:rPr>
            </w:pPr>
            <w:r>
              <w:rPr>
                <w:sz w:val="28"/>
                <w:szCs w:val="28"/>
                <w:lang w:eastAsia="en-GB"/>
              </w:rPr>
              <w:t xml:space="preserve">- Trẻ từ 16 - 30 tháng tuổi: thực hiện thêm trắc nghiệm phát hiện nguy cơ tự kỷ. </w:t>
            </w:r>
          </w:p>
          <w:p w14:paraId="5701244E" w14:textId="77777777" w:rsidR="00F04986" w:rsidRDefault="00F04986" w:rsidP="00B46F43">
            <w:pPr>
              <w:tabs>
                <w:tab w:val="left" w:pos="1641"/>
              </w:tabs>
              <w:rPr>
                <w:sz w:val="28"/>
                <w:szCs w:val="28"/>
                <w:lang w:eastAsia="en-GB"/>
              </w:rPr>
            </w:pPr>
            <w:r>
              <w:rPr>
                <w:sz w:val="28"/>
                <w:szCs w:val="28"/>
                <w:lang w:eastAsia="en-GB"/>
              </w:rPr>
              <w:t>- Trẻ từ 24 tháng tuổi đến dưới 06 tuổi: tiếp tục đánh giá phát triển thể chất, tinh thần - vận động, hành vi, giao tiếp và khám lâm sàng toàn diện.</w:t>
            </w:r>
          </w:p>
          <w:p w14:paraId="61DAB3C1" w14:textId="77777777" w:rsidR="00F04986" w:rsidRDefault="00F04986" w:rsidP="00B46F43">
            <w:pPr>
              <w:tabs>
                <w:tab w:val="left" w:pos="1641"/>
              </w:tabs>
              <w:rPr>
                <w:iCs/>
                <w:sz w:val="28"/>
                <w:szCs w:val="28"/>
              </w:rPr>
            </w:pPr>
          </w:p>
        </w:tc>
        <w:tc>
          <w:tcPr>
            <w:tcW w:w="3626" w:type="dxa"/>
          </w:tcPr>
          <w:p w14:paraId="1E2ED0C7" w14:textId="77777777" w:rsidR="00F04986" w:rsidRDefault="00F04986" w:rsidP="00B46F43">
            <w:pPr>
              <w:tabs>
                <w:tab w:val="left" w:pos="1641"/>
              </w:tabs>
              <w:rPr>
                <w:sz w:val="28"/>
                <w:szCs w:val="28"/>
                <w:lang w:eastAsia="en-GB"/>
              </w:rPr>
            </w:pPr>
            <w:r>
              <w:rPr>
                <w:sz w:val="28"/>
                <w:szCs w:val="28"/>
                <w:lang w:eastAsia="en-GB"/>
              </w:rPr>
              <w:t>Thực hiện theo Quyết định số 1284/QĐ-BYT ngày 07/5/2026 của Bộ trưởng Bộ Y tế; không quy định bắt buộc cận lâm sàng thường quy cho tất cả trẻ dưới 06 tuổi, thực hiện theo chỉ định chuyên môn khi cần thiết.</w:t>
            </w:r>
          </w:p>
        </w:tc>
      </w:tr>
      <w:tr w:rsidR="00F04986" w14:paraId="4C2E4E00" w14:textId="77777777" w:rsidTr="00B46F43">
        <w:tc>
          <w:tcPr>
            <w:tcW w:w="959" w:type="dxa"/>
          </w:tcPr>
          <w:p w14:paraId="3BF6B4E0" w14:textId="77777777" w:rsidR="00F04986" w:rsidRDefault="00F04986" w:rsidP="00B46F43">
            <w:pPr>
              <w:tabs>
                <w:tab w:val="left" w:pos="1641"/>
              </w:tabs>
              <w:jc w:val="center"/>
              <w:rPr>
                <w:sz w:val="28"/>
                <w:szCs w:val="28"/>
              </w:rPr>
            </w:pPr>
            <w:r>
              <w:rPr>
                <w:sz w:val="28"/>
                <w:szCs w:val="28"/>
              </w:rPr>
              <w:lastRenderedPageBreak/>
              <w:t>2</w:t>
            </w:r>
          </w:p>
        </w:tc>
        <w:tc>
          <w:tcPr>
            <w:tcW w:w="2268" w:type="dxa"/>
          </w:tcPr>
          <w:p w14:paraId="0285D6B6" w14:textId="77777777" w:rsidR="00F04986" w:rsidRDefault="00F04986" w:rsidP="00B46F43">
            <w:pPr>
              <w:tabs>
                <w:tab w:val="left" w:pos="1641"/>
              </w:tabs>
              <w:rPr>
                <w:sz w:val="28"/>
                <w:szCs w:val="28"/>
              </w:rPr>
            </w:pPr>
            <w:r>
              <w:rPr>
                <w:sz w:val="28"/>
                <w:szCs w:val="28"/>
                <w:lang w:eastAsia="en-GB"/>
              </w:rPr>
              <w:t>Người từ đủ 06 tuổi đến dưới 18 tuổi</w:t>
            </w:r>
          </w:p>
        </w:tc>
        <w:tc>
          <w:tcPr>
            <w:tcW w:w="7654" w:type="dxa"/>
          </w:tcPr>
          <w:p w14:paraId="638AB5B8" w14:textId="77777777" w:rsidR="00F04986" w:rsidRDefault="00F04986" w:rsidP="00B46F43">
            <w:pPr>
              <w:tabs>
                <w:tab w:val="left" w:pos="1641"/>
              </w:tabs>
              <w:rPr>
                <w:sz w:val="28"/>
                <w:szCs w:val="28"/>
                <w:lang w:eastAsia="en-GB"/>
              </w:rPr>
            </w:pPr>
            <w:r>
              <w:rPr>
                <w:sz w:val="28"/>
                <w:szCs w:val="28"/>
                <w:lang w:eastAsia="en-GB"/>
              </w:rPr>
              <w:t xml:space="preserve">- Mẫu giấy khám sức khỏe định kỳ thực hiện theo Mẫu số 02, Phụ lục XXIV ban hành kèm theo Thông tư số 32/2023/TT-BYT. </w:t>
            </w:r>
          </w:p>
          <w:p w14:paraId="5B6A3720" w14:textId="77777777" w:rsidR="00F04986" w:rsidRDefault="00F04986" w:rsidP="00B46F43">
            <w:pPr>
              <w:tabs>
                <w:tab w:val="left" w:pos="1641"/>
              </w:tabs>
              <w:rPr>
                <w:sz w:val="28"/>
                <w:szCs w:val="28"/>
                <w:lang w:eastAsia="en-GB"/>
              </w:rPr>
            </w:pPr>
            <w:r>
              <w:rPr>
                <w:sz w:val="28"/>
                <w:szCs w:val="28"/>
                <w:lang w:eastAsia="en-GB"/>
              </w:rPr>
              <w:t>- Khám đầy đủ các nội dung chuyên khoa lâm sàng theo Mẫu số 02, Phụ lục XXIV ban hành kèm theo Thông tư số 32/2023/TT-BYT.</w:t>
            </w:r>
          </w:p>
          <w:p w14:paraId="14D1AAF5" w14:textId="77777777" w:rsidR="00F04986" w:rsidRDefault="00F04986" w:rsidP="00B46F43">
            <w:pPr>
              <w:tabs>
                <w:tab w:val="left" w:pos="1641"/>
              </w:tabs>
              <w:rPr>
                <w:iCs/>
                <w:sz w:val="28"/>
                <w:szCs w:val="28"/>
              </w:rPr>
            </w:pPr>
          </w:p>
        </w:tc>
        <w:tc>
          <w:tcPr>
            <w:tcW w:w="3626" w:type="dxa"/>
          </w:tcPr>
          <w:p w14:paraId="4A9834CC" w14:textId="77777777" w:rsidR="00F04986" w:rsidRDefault="00F04986" w:rsidP="00B46F43">
            <w:pPr>
              <w:tabs>
                <w:tab w:val="left" w:pos="1641"/>
              </w:tabs>
              <w:rPr>
                <w:sz w:val="28"/>
                <w:szCs w:val="28"/>
                <w:lang w:eastAsia="en-GB"/>
              </w:rPr>
            </w:pPr>
            <w:r>
              <w:rPr>
                <w:sz w:val="28"/>
                <w:szCs w:val="28"/>
                <w:lang w:eastAsia="en-GB"/>
              </w:rPr>
              <w:t>Các xét nghiệm cận lâm sàng thực hiện khi có chỉ định của bác sỹ hoặc yêu cầu tự nguyện chi trả của người dân, cơ quan, tổ chức, doanh nghiệp hoặc theo tình hình thực tiễn về khả năng hỗ trợ chi trả của địa phương, đơn vị.</w:t>
            </w:r>
          </w:p>
        </w:tc>
      </w:tr>
      <w:tr w:rsidR="00F04986" w14:paraId="0BFCF741" w14:textId="77777777" w:rsidTr="00B46F43">
        <w:tc>
          <w:tcPr>
            <w:tcW w:w="959" w:type="dxa"/>
          </w:tcPr>
          <w:p w14:paraId="27733250" w14:textId="77777777" w:rsidR="00F04986" w:rsidRDefault="00F04986" w:rsidP="00B46F43">
            <w:pPr>
              <w:tabs>
                <w:tab w:val="left" w:pos="1641"/>
              </w:tabs>
              <w:jc w:val="center"/>
              <w:rPr>
                <w:sz w:val="28"/>
                <w:szCs w:val="28"/>
              </w:rPr>
            </w:pPr>
            <w:r>
              <w:rPr>
                <w:sz w:val="28"/>
                <w:szCs w:val="28"/>
              </w:rPr>
              <w:t>3</w:t>
            </w:r>
          </w:p>
        </w:tc>
        <w:tc>
          <w:tcPr>
            <w:tcW w:w="2268" w:type="dxa"/>
          </w:tcPr>
          <w:p w14:paraId="095DF883" w14:textId="77777777" w:rsidR="00F04986" w:rsidRDefault="00F04986" w:rsidP="00B46F43">
            <w:pPr>
              <w:tabs>
                <w:tab w:val="left" w:pos="1641"/>
              </w:tabs>
              <w:rPr>
                <w:sz w:val="28"/>
                <w:szCs w:val="28"/>
              </w:rPr>
            </w:pPr>
            <w:r>
              <w:rPr>
                <w:sz w:val="28"/>
                <w:szCs w:val="28"/>
                <w:lang w:eastAsia="en-GB"/>
              </w:rPr>
              <w:t>Người từ đủ 18 tuổi trở lên</w:t>
            </w:r>
          </w:p>
        </w:tc>
        <w:tc>
          <w:tcPr>
            <w:tcW w:w="7654" w:type="dxa"/>
          </w:tcPr>
          <w:p w14:paraId="75137E12" w14:textId="77777777" w:rsidR="00F04986" w:rsidRDefault="00F04986" w:rsidP="00B46F43">
            <w:pPr>
              <w:tabs>
                <w:tab w:val="left" w:pos="1641"/>
              </w:tabs>
              <w:rPr>
                <w:sz w:val="28"/>
                <w:szCs w:val="28"/>
                <w:lang w:eastAsia="en-GB"/>
              </w:rPr>
            </w:pPr>
            <w:r>
              <w:rPr>
                <w:sz w:val="28"/>
                <w:szCs w:val="28"/>
                <w:lang w:eastAsia="en-GB"/>
              </w:rPr>
              <w:t xml:space="preserve">- Mẫu giấy khám sức khỏe định kỳ thực hiện theo Mẫu số 03, Phụ lục XXIV ban hành kèm theo Thông tư số 32/2023/TT-BYT. </w:t>
            </w:r>
          </w:p>
          <w:p w14:paraId="07D8797F" w14:textId="77777777" w:rsidR="00F04986" w:rsidRDefault="00F04986" w:rsidP="00B46F43">
            <w:pPr>
              <w:tabs>
                <w:tab w:val="left" w:pos="1641"/>
              </w:tabs>
              <w:rPr>
                <w:iCs/>
                <w:sz w:val="28"/>
                <w:szCs w:val="28"/>
              </w:rPr>
            </w:pPr>
            <w:r>
              <w:rPr>
                <w:sz w:val="28"/>
                <w:szCs w:val="28"/>
                <w:lang w:eastAsia="en-GB"/>
              </w:rPr>
              <w:t>- Khám đầy đủ các nội dung chuyên khoa lâm sàng theo Mẫu số 03, Phụ lục XXIV ban hành kèm theo Thông tư số 32/2023/TT-BYT.</w:t>
            </w:r>
          </w:p>
        </w:tc>
        <w:tc>
          <w:tcPr>
            <w:tcW w:w="3626" w:type="dxa"/>
          </w:tcPr>
          <w:p w14:paraId="16B9A17B" w14:textId="77777777" w:rsidR="00F04986" w:rsidRDefault="00F04986" w:rsidP="00B46F43">
            <w:pPr>
              <w:tabs>
                <w:tab w:val="left" w:pos="1641"/>
              </w:tabs>
              <w:rPr>
                <w:sz w:val="28"/>
                <w:szCs w:val="28"/>
                <w:lang w:eastAsia="en-GB"/>
              </w:rPr>
            </w:pPr>
            <w:r>
              <w:rPr>
                <w:sz w:val="28"/>
                <w:szCs w:val="28"/>
                <w:lang w:eastAsia="en-GB"/>
              </w:rPr>
              <w:t xml:space="preserve">- Xét nghiệm máu: công thức máu; đường máu; urê; creatinin; ASAT (GOT); ALAT (GPT). </w:t>
            </w:r>
          </w:p>
          <w:p w14:paraId="6A74A2D4" w14:textId="77777777" w:rsidR="00F04986" w:rsidRDefault="00F04986" w:rsidP="00B46F43">
            <w:pPr>
              <w:tabs>
                <w:tab w:val="left" w:pos="1641"/>
              </w:tabs>
              <w:rPr>
                <w:sz w:val="28"/>
                <w:szCs w:val="28"/>
                <w:lang w:eastAsia="en-GB"/>
              </w:rPr>
            </w:pPr>
            <w:r>
              <w:rPr>
                <w:sz w:val="28"/>
                <w:szCs w:val="28"/>
                <w:lang w:eastAsia="en-GB"/>
              </w:rPr>
              <w:t xml:space="preserve">- Xét nghiệm nước tiểu: đường; protein. </w:t>
            </w:r>
          </w:p>
          <w:p w14:paraId="1797933B" w14:textId="77777777" w:rsidR="00F04986" w:rsidRDefault="00F04986" w:rsidP="00B46F43">
            <w:pPr>
              <w:tabs>
                <w:tab w:val="left" w:pos="1641"/>
              </w:tabs>
              <w:rPr>
                <w:sz w:val="28"/>
                <w:szCs w:val="28"/>
                <w:lang w:eastAsia="en-GB"/>
              </w:rPr>
            </w:pPr>
            <w:r>
              <w:rPr>
                <w:sz w:val="28"/>
                <w:szCs w:val="28"/>
                <w:lang w:eastAsia="en-GB"/>
              </w:rPr>
              <w:t xml:space="preserve">- Chẩn đoán hình ảnh: X.quang tim phổi thẳng. </w:t>
            </w:r>
          </w:p>
          <w:p w14:paraId="2CF80DB6" w14:textId="77777777" w:rsidR="00F04986" w:rsidRDefault="00F04986" w:rsidP="00B46F43">
            <w:pPr>
              <w:tabs>
                <w:tab w:val="left" w:pos="1641"/>
              </w:tabs>
              <w:rPr>
                <w:sz w:val="28"/>
                <w:szCs w:val="28"/>
                <w:lang w:eastAsia="en-GB"/>
              </w:rPr>
            </w:pPr>
            <w:r>
              <w:rPr>
                <w:sz w:val="28"/>
                <w:szCs w:val="28"/>
                <w:lang w:eastAsia="en-GB"/>
              </w:rPr>
              <w:t xml:space="preserve">- Các xét nghiệm khác theo khả năng hỗ trợ chi trả hoặc theo yêu cầu tự nguyện. </w:t>
            </w:r>
          </w:p>
          <w:p w14:paraId="4332B956" w14:textId="77777777" w:rsidR="00F04986" w:rsidRDefault="00F04986" w:rsidP="00B46F43">
            <w:pPr>
              <w:tabs>
                <w:tab w:val="left" w:pos="1641"/>
              </w:tabs>
              <w:rPr>
                <w:sz w:val="28"/>
                <w:szCs w:val="28"/>
                <w:lang w:eastAsia="en-GB"/>
              </w:rPr>
            </w:pPr>
            <w:r>
              <w:rPr>
                <w:sz w:val="28"/>
                <w:szCs w:val="28"/>
                <w:lang w:eastAsia="en-GB"/>
              </w:rPr>
              <w:t>- Trường hợp nghi ngờ mắc bệnh lao, u phổi hoặc bệnh lý khác thì chỉ định xét nghiệm chuyên khoa phù hợp.</w:t>
            </w:r>
          </w:p>
        </w:tc>
      </w:tr>
      <w:tr w:rsidR="00F04986" w14:paraId="1E97FF4A" w14:textId="77777777" w:rsidTr="00B46F43">
        <w:tc>
          <w:tcPr>
            <w:tcW w:w="959" w:type="dxa"/>
          </w:tcPr>
          <w:p w14:paraId="02A63862" w14:textId="77777777" w:rsidR="00F04986" w:rsidRDefault="00F04986" w:rsidP="00B46F43">
            <w:pPr>
              <w:tabs>
                <w:tab w:val="left" w:pos="1641"/>
              </w:tabs>
              <w:jc w:val="center"/>
              <w:rPr>
                <w:sz w:val="28"/>
                <w:szCs w:val="28"/>
              </w:rPr>
            </w:pPr>
            <w:r>
              <w:rPr>
                <w:sz w:val="28"/>
                <w:szCs w:val="28"/>
              </w:rPr>
              <w:t>4</w:t>
            </w:r>
          </w:p>
        </w:tc>
        <w:tc>
          <w:tcPr>
            <w:tcW w:w="2268" w:type="dxa"/>
          </w:tcPr>
          <w:p w14:paraId="3DCDAAD1" w14:textId="77777777" w:rsidR="00F04986" w:rsidRDefault="00F04986" w:rsidP="00B46F43">
            <w:pPr>
              <w:tabs>
                <w:tab w:val="left" w:pos="1641"/>
              </w:tabs>
              <w:rPr>
                <w:sz w:val="28"/>
                <w:szCs w:val="28"/>
              </w:rPr>
            </w:pPr>
            <w:r>
              <w:rPr>
                <w:sz w:val="28"/>
                <w:szCs w:val="28"/>
                <w:lang w:eastAsia="en-GB"/>
              </w:rPr>
              <w:t>Lao động nữ</w:t>
            </w:r>
          </w:p>
        </w:tc>
        <w:tc>
          <w:tcPr>
            <w:tcW w:w="7654" w:type="dxa"/>
          </w:tcPr>
          <w:p w14:paraId="161EFC02" w14:textId="77777777" w:rsidR="00F04986" w:rsidRDefault="00F04986" w:rsidP="00B46F43">
            <w:pPr>
              <w:tabs>
                <w:tab w:val="left" w:pos="1641"/>
              </w:tabs>
              <w:rPr>
                <w:iCs/>
                <w:sz w:val="28"/>
                <w:szCs w:val="28"/>
              </w:rPr>
            </w:pPr>
            <w:r>
              <w:rPr>
                <w:iCs/>
                <w:sz w:val="28"/>
                <w:szCs w:val="28"/>
              </w:rPr>
              <w:t>Thực hiện danh mục khám chuyên khoa phụ sản theo Phụ lục XXV ban hành kèm Thông tư số 32/2023/TT-BYT.</w:t>
            </w:r>
          </w:p>
        </w:tc>
        <w:tc>
          <w:tcPr>
            <w:tcW w:w="3626" w:type="dxa"/>
          </w:tcPr>
          <w:p w14:paraId="3DB6884E" w14:textId="77777777" w:rsidR="00F04986" w:rsidRDefault="00F04986" w:rsidP="00B46F43">
            <w:pPr>
              <w:tabs>
                <w:tab w:val="left" w:pos="1641"/>
              </w:tabs>
              <w:rPr>
                <w:sz w:val="28"/>
                <w:szCs w:val="28"/>
                <w:lang w:eastAsia="en-GB"/>
              </w:rPr>
            </w:pPr>
            <w:r>
              <w:rPr>
                <w:sz w:val="28"/>
                <w:szCs w:val="28"/>
                <w:lang w:eastAsia="en-GB"/>
              </w:rPr>
              <w:t>Thực hiện theo chỉ định khám chuyên khoa phụ sản.</w:t>
            </w:r>
          </w:p>
        </w:tc>
      </w:tr>
      <w:tr w:rsidR="00F04986" w14:paraId="4B60D12A" w14:textId="77777777" w:rsidTr="00B46F43">
        <w:tc>
          <w:tcPr>
            <w:tcW w:w="959" w:type="dxa"/>
          </w:tcPr>
          <w:p w14:paraId="48298363" w14:textId="77777777" w:rsidR="00F04986" w:rsidRDefault="00F04986" w:rsidP="00B46F43">
            <w:pPr>
              <w:tabs>
                <w:tab w:val="left" w:pos="1641"/>
              </w:tabs>
              <w:jc w:val="center"/>
              <w:rPr>
                <w:sz w:val="28"/>
                <w:szCs w:val="28"/>
              </w:rPr>
            </w:pPr>
            <w:r>
              <w:rPr>
                <w:sz w:val="28"/>
                <w:szCs w:val="28"/>
              </w:rPr>
              <w:t>5</w:t>
            </w:r>
          </w:p>
        </w:tc>
        <w:tc>
          <w:tcPr>
            <w:tcW w:w="2268" w:type="dxa"/>
          </w:tcPr>
          <w:p w14:paraId="7BA24E12" w14:textId="77777777" w:rsidR="00F04986" w:rsidRDefault="00F04986" w:rsidP="00B46F43">
            <w:pPr>
              <w:tabs>
                <w:tab w:val="left" w:pos="1641"/>
              </w:tabs>
              <w:rPr>
                <w:sz w:val="28"/>
                <w:szCs w:val="28"/>
              </w:rPr>
            </w:pPr>
            <w:r>
              <w:rPr>
                <w:sz w:val="28"/>
                <w:szCs w:val="28"/>
                <w:lang w:eastAsia="en-GB"/>
              </w:rPr>
              <w:t>Cán bộ</w:t>
            </w:r>
          </w:p>
        </w:tc>
        <w:tc>
          <w:tcPr>
            <w:tcW w:w="7654" w:type="dxa"/>
          </w:tcPr>
          <w:p w14:paraId="1C99F1F7" w14:textId="77777777" w:rsidR="00F04986" w:rsidRDefault="00F04986" w:rsidP="00B46F43">
            <w:pPr>
              <w:tabs>
                <w:tab w:val="left" w:pos="1641"/>
              </w:tabs>
              <w:rPr>
                <w:iCs/>
                <w:sz w:val="28"/>
                <w:szCs w:val="28"/>
              </w:rPr>
            </w:pPr>
            <w:r>
              <w:rPr>
                <w:sz w:val="28"/>
                <w:szCs w:val="28"/>
                <w:lang w:eastAsia="en-GB"/>
              </w:rPr>
              <w:t>Thực hiện theo Quyết định số 1266/QĐ-BYT ngày 21/3/2020 của Bộ trưởng Bộ Y tế về việc ban hành quy định tiêu chuẩn phân loại sức khỏe cán bộ và mẫu phiếu khám sức khỏe cán bộ.</w:t>
            </w:r>
          </w:p>
        </w:tc>
        <w:tc>
          <w:tcPr>
            <w:tcW w:w="3626" w:type="dxa"/>
          </w:tcPr>
          <w:p w14:paraId="58E45A16" w14:textId="77777777" w:rsidR="00F04986" w:rsidRDefault="00F04986" w:rsidP="00B46F43">
            <w:pPr>
              <w:tabs>
                <w:tab w:val="left" w:pos="1641"/>
              </w:tabs>
              <w:rPr>
                <w:sz w:val="28"/>
                <w:szCs w:val="28"/>
                <w:lang w:eastAsia="en-GB"/>
              </w:rPr>
            </w:pPr>
            <w:r>
              <w:rPr>
                <w:sz w:val="28"/>
                <w:szCs w:val="28"/>
                <w:lang w:eastAsia="en-GB"/>
              </w:rPr>
              <w:t>Thực hiện theo Quyết định số 1266/QĐ-BYT ngày 21/3/2020.</w:t>
            </w:r>
          </w:p>
        </w:tc>
      </w:tr>
      <w:tr w:rsidR="00F04986" w14:paraId="60BCEE85" w14:textId="77777777" w:rsidTr="00B46F43">
        <w:tc>
          <w:tcPr>
            <w:tcW w:w="959" w:type="dxa"/>
          </w:tcPr>
          <w:p w14:paraId="5C45038F" w14:textId="77777777" w:rsidR="00F04986" w:rsidRDefault="00F04986" w:rsidP="00B46F43">
            <w:pPr>
              <w:tabs>
                <w:tab w:val="left" w:pos="1641"/>
              </w:tabs>
              <w:jc w:val="center"/>
              <w:rPr>
                <w:sz w:val="28"/>
                <w:szCs w:val="28"/>
              </w:rPr>
            </w:pPr>
            <w:r>
              <w:rPr>
                <w:sz w:val="28"/>
                <w:szCs w:val="28"/>
              </w:rPr>
              <w:t>6</w:t>
            </w:r>
          </w:p>
        </w:tc>
        <w:tc>
          <w:tcPr>
            <w:tcW w:w="2268" w:type="dxa"/>
          </w:tcPr>
          <w:p w14:paraId="5EA673D7" w14:textId="77777777" w:rsidR="00F04986" w:rsidRDefault="00F04986" w:rsidP="00B46F43">
            <w:pPr>
              <w:tabs>
                <w:tab w:val="left" w:pos="1641"/>
              </w:tabs>
              <w:rPr>
                <w:sz w:val="28"/>
                <w:szCs w:val="28"/>
              </w:rPr>
            </w:pPr>
            <w:r>
              <w:rPr>
                <w:sz w:val="28"/>
                <w:szCs w:val="28"/>
              </w:rPr>
              <w:t xml:space="preserve">Đối tượng thuộc Bộ Quốc phòng, </w:t>
            </w:r>
            <w:r>
              <w:rPr>
                <w:sz w:val="28"/>
                <w:szCs w:val="28"/>
              </w:rPr>
              <w:lastRenderedPageBreak/>
              <w:t>Bộ Công an quản lý</w:t>
            </w:r>
          </w:p>
        </w:tc>
        <w:tc>
          <w:tcPr>
            <w:tcW w:w="7654" w:type="dxa"/>
          </w:tcPr>
          <w:p w14:paraId="32B6F8B7" w14:textId="77777777" w:rsidR="00F04986" w:rsidRDefault="00F04986" w:rsidP="00B46F43">
            <w:pPr>
              <w:tabs>
                <w:tab w:val="left" w:pos="1641"/>
              </w:tabs>
              <w:rPr>
                <w:iCs/>
                <w:sz w:val="28"/>
                <w:szCs w:val="28"/>
              </w:rPr>
            </w:pPr>
            <w:r>
              <w:rPr>
                <w:iCs/>
                <w:sz w:val="28"/>
                <w:szCs w:val="28"/>
              </w:rPr>
              <w:lastRenderedPageBreak/>
              <w:t>Thực hiện theo quy định của Bộ Quốc phòng, Bộ Công an.</w:t>
            </w:r>
          </w:p>
        </w:tc>
        <w:tc>
          <w:tcPr>
            <w:tcW w:w="3626" w:type="dxa"/>
          </w:tcPr>
          <w:p w14:paraId="307056C1" w14:textId="77777777" w:rsidR="00F04986" w:rsidRDefault="00F04986" w:rsidP="00B46F43">
            <w:pPr>
              <w:tabs>
                <w:tab w:val="left" w:pos="1641"/>
              </w:tabs>
              <w:rPr>
                <w:sz w:val="28"/>
                <w:szCs w:val="28"/>
                <w:lang w:eastAsia="en-GB"/>
              </w:rPr>
            </w:pPr>
            <w:r>
              <w:rPr>
                <w:sz w:val="28"/>
                <w:szCs w:val="28"/>
                <w:lang w:eastAsia="en-GB"/>
              </w:rPr>
              <w:t>Theo quy định của Bộ Quốc phòng, Bộ Công an.</w:t>
            </w:r>
          </w:p>
        </w:tc>
      </w:tr>
      <w:tr w:rsidR="00F04986" w14:paraId="7CD90EA6" w14:textId="77777777" w:rsidTr="00B46F43">
        <w:tc>
          <w:tcPr>
            <w:tcW w:w="959" w:type="dxa"/>
          </w:tcPr>
          <w:p w14:paraId="4B175E4D" w14:textId="77777777" w:rsidR="00F04986" w:rsidRDefault="00F04986" w:rsidP="00B46F43">
            <w:pPr>
              <w:tabs>
                <w:tab w:val="left" w:pos="1641"/>
              </w:tabs>
              <w:jc w:val="center"/>
              <w:rPr>
                <w:sz w:val="28"/>
                <w:szCs w:val="28"/>
              </w:rPr>
            </w:pPr>
            <w:r>
              <w:rPr>
                <w:sz w:val="28"/>
                <w:szCs w:val="28"/>
              </w:rPr>
              <w:t>7</w:t>
            </w:r>
          </w:p>
        </w:tc>
        <w:tc>
          <w:tcPr>
            <w:tcW w:w="2268" w:type="dxa"/>
          </w:tcPr>
          <w:p w14:paraId="5A897EB9" w14:textId="77777777" w:rsidR="00F04986" w:rsidRDefault="00F04986" w:rsidP="00B46F43">
            <w:pPr>
              <w:tabs>
                <w:tab w:val="left" w:pos="1641"/>
              </w:tabs>
              <w:rPr>
                <w:sz w:val="28"/>
                <w:szCs w:val="28"/>
              </w:rPr>
            </w:pPr>
            <w:r>
              <w:rPr>
                <w:sz w:val="28"/>
                <w:szCs w:val="28"/>
                <w:lang w:eastAsia="en-GB"/>
              </w:rPr>
              <w:t>Học sinh trong trường học</w:t>
            </w:r>
          </w:p>
        </w:tc>
        <w:tc>
          <w:tcPr>
            <w:tcW w:w="7654" w:type="dxa"/>
          </w:tcPr>
          <w:p w14:paraId="67CF555F" w14:textId="77777777" w:rsidR="00F04986" w:rsidRDefault="00F04986" w:rsidP="00B46F43">
            <w:pPr>
              <w:tabs>
                <w:tab w:val="left" w:pos="1641"/>
              </w:tabs>
              <w:rPr>
                <w:iCs/>
                <w:sz w:val="28"/>
                <w:szCs w:val="28"/>
              </w:rPr>
            </w:pPr>
            <w:r>
              <w:rPr>
                <w:sz w:val="28"/>
                <w:szCs w:val="28"/>
                <w:lang w:eastAsia="en-GB"/>
              </w:rPr>
              <w:t>Thực hiện theo Thông tư liên tịch số 13/2016/TTLT-BYT-BGDĐT ngày 12/5/2016 của Bộ trưởng Bộ Y tế và Bộ trưởng Bộ Giáo dục và Đào tạo quy định về công tác y tế trường học.</w:t>
            </w:r>
          </w:p>
        </w:tc>
        <w:tc>
          <w:tcPr>
            <w:tcW w:w="3626" w:type="dxa"/>
          </w:tcPr>
          <w:p w14:paraId="180B195F" w14:textId="77777777" w:rsidR="00F04986" w:rsidRDefault="00F04986" w:rsidP="00B46F43">
            <w:pPr>
              <w:tabs>
                <w:tab w:val="left" w:pos="1641"/>
              </w:tabs>
              <w:rPr>
                <w:sz w:val="28"/>
                <w:szCs w:val="28"/>
                <w:lang w:eastAsia="en-GB"/>
              </w:rPr>
            </w:pPr>
            <w:r>
              <w:rPr>
                <w:sz w:val="28"/>
                <w:szCs w:val="28"/>
                <w:lang w:eastAsia="en-GB"/>
              </w:rPr>
              <w:t>Thực hiện theo Thông tư liên tịch số 13/2016/TTLT-BYT-BGDĐT.</w:t>
            </w:r>
          </w:p>
        </w:tc>
      </w:tr>
      <w:tr w:rsidR="00F04986" w14:paraId="71B9666F" w14:textId="77777777" w:rsidTr="00B46F43">
        <w:tc>
          <w:tcPr>
            <w:tcW w:w="959" w:type="dxa"/>
          </w:tcPr>
          <w:p w14:paraId="2E13FEE6" w14:textId="77777777" w:rsidR="00F04986" w:rsidRDefault="00F04986" w:rsidP="00B46F43">
            <w:pPr>
              <w:tabs>
                <w:tab w:val="left" w:pos="1641"/>
              </w:tabs>
              <w:jc w:val="center"/>
              <w:rPr>
                <w:sz w:val="28"/>
                <w:szCs w:val="28"/>
              </w:rPr>
            </w:pPr>
            <w:r>
              <w:rPr>
                <w:sz w:val="28"/>
                <w:szCs w:val="28"/>
              </w:rPr>
              <w:t>8</w:t>
            </w:r>
          </w:p>
        </w:tc>
        <w:tc>
          <w:tcPr>
            <w:tcW w:w="2268" w:type="dxa"/>
          </w:tcPr>
          <w:p w14:paraId="50269C7D" w14:textId="77777777" w:rsidR="00F04986" w:rsidRDefault="00F04986" w:rsidP="00B46F43">
            <w:pPr>
              <w:tabs>
                <w:tab w:val="left" w:pos="1641"/>
              </w:tabs>
              <w:rPr>
                <w:sz w:val="28"/>
                <w:szCs w:val="28"/>
              </w:rPr>
            </w:pPr>
            <w:r>
              <w:rPr>
                <w:sz w:val="28"/>
                <w:szCs w:val="28"/>
                <w:lang w:eastAsia="en-GB"/>
              </w:rPr>
              <w:t>Người hành nghề lái xe ô tô</w:t>
            </w:r>
          </w:p>
        </w:tc>
        <w:tc>
          <w:tcPr>
            <w:tcW w:w="7654" w:type="dxa"/>
          </w:tcPr>
          <w:p w14:paraId="744E4691" w14:textId="77777777" w:rsidR="00F04986" w:rsidRDefault="00F04986" w:rsidP="00B46F43">
            <w:pPr>
              <w:tabs>
                <w:tab w:val="left" w:pos="1641"/>
              </w:tabs>
              <w:rPr>
                <w:iCs/>
                <w:sz w:val="28"/>
                <w:szCs w:val="28"/>
              </w:rPr>
            </w:pPr>
            <w:r>
              <w:rPr>
                <w:sz w:val="28"/>
                <w:szCs w:val="28"/>
                <w:lang w:eastAsia="en-GB"/>
              </w:rPr>
              <w:t>Thực hiện theo Thông tư số 36/2024/TT-BYT ngày 16/11/2024 của Bộ trưởng Bộ Y tế quy định về tiêu chuẩn sức khỏe, việc khám sức khỏe đối với người lái xe, người điều khiển xe máy chuyên dùng; việc khám sức khỏe định kỳ đối với người hành nghề lái xe ô tô; cơ sở dữ liệu về sức khỏe của người lái xe, người điều khiển xe máy chuyên dùng.</w:t>
            </w:r>
          </w:p>
        </w:tc>
        <w:tc>
          <w:tcPr>
            <w:tcW w:w="3626" w:type="dxa"/>
          </w:tcPr>
          <w:p w14:paraId="79F61CBD" w14:textId="77777777" w:rsidR="00F04986" w:rsidRDefault="00F04986" w:rsidP="00B46F43">
            <w:pPr>
              <w:tabs>
                <w:tab w:val="left" w:pos="1641"/>
              </w:tabs>
              <w:rPr>
                <w:sz w:val="28"/>
                <w:szCs w:val="28"/>
                <w:lang w:eastAsia="en-GB"/>
              </w:rPr>
            </w:pPr>
            <w:r>
              <w:rPr>
                <w:sz w:val="28"/>
                <w:szCs w:val="28"/>
                <w:lang w:eastAsia="en-GB"/>
              </w:rPr>
              <w:t>Thực hiện theo Thông tư số 36/2024/TT-BYT ngày 16/11/2024.</w:t>
            </w:r>
          </w:p>
        </w:tc>
      </w:tr>
      <w:tr w:rsidR="00F04986" w14:paraId="7C711190" w14:textId="77777777" w:rsidTr="00B46F43">
        <w:tc>
          <w:tcPr>
            <w:tcW w:w="959" w:type="dxa"/>
          </w:tcPr>
          <w:p w14:paraId="709BA031" w14:textId="77777777" w:rsidR="00F04986" w:rsidRDefault="00F04986" w:rsidP="00B46F43">
            <w:pPr>
              <w:tabs>
                <w:tab w:val="left" w:pos="1641"/>
              </w:tabs>
              <w:jc w:val="center"/>
              <w:rPr>
                <w:sz w:val="28"/>
                <w:szCs w:val="28"/>
              </w:rPr>
            </w:pPr>
            <w:r>
              <w:rPr>
                <w:sz w:val="28"/>
                <w:szCs w:val="28"/>
              </w:rPr>
              <w:t>9</w:t>
            </w:r>
          </w:p>
        </w:tc>
        <w:tc>
          <w:tcPr>
            <w:tcW w:w="2268" w:type="dxa"/>
          </w:tcPr>
          <w:p w14:paraId="1D5D58FC" w14:textId="77777777" w:rsidR="00F04986" w:rsidRDefault="00F04986" w:rsidP="00B46F43">
            <w:pPr>
              <w:tabs>
                <w:tab w:val="left" w:pos="1641"/>
              </w:tabs>
              <w:rPr>
                <w:sz w:val="28"/>
                <w:szCs w:val="28"/>
              </w:rPr>
            </w:pPr>
            <w:r>
              <w:rPr>
                <w:sz w:val="28"/>
                <w:szCs w:val="28"/>
                <w:lang w:eastAsia="en-GB"/>
              </w:rPr>
              <w:t>Nhân viên hàng không</w:t>
            </w:r>
          </w:p>
        </w:tc>
        <w:tc>
          <w:tcPr>
            <w:tcW w:w="7654" w:type="dxa"/>
          </w:tcPr>
          <w:p w14:paraId="212B85A7" w14:textId="77777777" w:rsidR="00F04986" w:rsidRDefault="00F04986" w:rsidP="00B46F43">
            <w:pPr>
              <w:tabs>
                <w:tab w:val="left" w:pos="1641"/>
              </w:tabs>
              <w:rPr>
                <w:iCs/>
                <w:sz w:val="28"/>
                <w:szCs w:val="28"/>
              </w:rPr>
            </w:pPr>
            <w:r>
              <w:rPr>
                <w:sz w:val="28"/>
                <w:szCs w:val="28"/>
                <w:lang w:eastAsia="en-GB"/>
              </w:rPr>
              <w:t>Thực hiện theo Thông tư liên tịch số 18/2012/TTLT-BYT-BGTVT ngày 05/11/2012 của Bộ Y tế, Bộ Giao thông vận tải quy định tiêu chuẩn sức khỏe của nhân viên hàng không và điều kiện đối với cơ sở y tế thực hiện việc khám sức khỏe cho nhân viên hàng không.</w:t>
            </w:r>
          </w:p>
        </w:tc>
        <w:tc>
          <w:tcPr>
            <w:tcW w:w="3626" w:type="dxa"/>
          </w:tcPr>
          <w:p w14:paraId="1DB323CC" w14:textId="77777777" w:rsidR="00F04986" w:rsidRDefault="00F04986" w:rsidP="00B46F43">
            <w:pPr>
              <w:tabs>
                <w:tab w:val="left" w:pos="1641"/>
              </w:tabs>
              <w:rPr>
                <w:sz w:val="28"/>
                <w:szCs w:val="28"/>
                <w:lang w:eastAsia="en-GB"/>
              </w:rPr>
            </w:pPr>
            <w:r>
              <w:rPr>
                <w:sz w:val="28"/>
                <w:szCs w:val="28"/>
                <w:lang w:eastAsia="en-GB"/>
              </w:rPr>
              <w:t>Thực hiện theo Thông tư liên tịch số 18/2012/TTLT-BYT-BGTVT</w:t>
            </w:r>
          </w:p>
        </w:tc>
      </w:tr>
      <w:tr w:rsidR="00F04986" w14:paraId="05DF81D3" w14:textId="77777777" w:rsidTr="00B46F43">
        <w:tc>
          <w:tcPr>
            <w:tcW w:w="959" w:type="dxa"/>
          </w:tcPr>
          <w:p w14:paraId="18BBB3F5" w14:textId="77777777" w:rsidR="00F04986" w:rsidRDefault="00F04986" w:rsidP="00B46F43">
            <w:pPr>
              <w:tabs>
                <w:tab w:val="left" w:pos="1641"/>
              </w:tabs>
              <w:jc w:val="center"/>
              <w:rPr>
                <w:sz w:val="28"/>
                <w:szCs w:val="28"/>
              </w:rPr>
            </w:pPr>
            <w:r>
              <w:rPr>
                <w:sz w:val="28"/>
                <w:szCs w:val="28"/>
              </w:rPr>
              <w:t>10</w:t>
            </w:r>
          </w:p>
        </w:tc>
        <w:tc>
          <w:tcPr>
            <w:tcW w:w="2268" w:type="dxa"/>
          </w:tcPr>
          <w:p w14:paraId="73F36E2E" w14:textId="77777777" w:rsidR="00F04986" w:rsidRDefault="00F04986" w:rsidP="00B46F43">
            <w:pPr>
              <w:tabs>
                <w:tab w:val="left" w:pos="1641"/>
              </w:tabs>
              <w:rPr>
                <w:sz w:val="28"/>
                <w:szCs w:val="28"/>
              </w:rPr>
            </w:pPr>
            <w:r>
              <w:rPr>
                <w:sz w:val="28"/>
                <w:szCs w:val="28"/>
                <w:lang w:eastAsia="en-GB"/>
              </w:rPr>
              <w:t>Người điều khiển phương tiện giao thông đường sắt</w:t>
            </w:r>
          </w:p>
        </w:tc>
        <w:tc>
          <w:tcPr>
            <w:tcW w:w="7654" w:type="dxa"/>
          </w:tcPr>
          <w:p w14:paraId="5CD6D30B" w14:textId="77777777" w:rsidR="00F04986" w:rsidRDefault="00F04986" w:rsidP="00B46F43">
            <w:pPr>
              <w:tabs>
                <w:tab w:val="left" w:pos="1641"/>
              </w:tabs>
              <w:rPr>
                <w:iCs/>
                <w:sz w:val="28"/>
                <w:szCs w:val="28"/>
              </w:rPr>
            </w:pPr>
            <w:r>
              <w:rPr>
                <w:sz w:val="28"/>
                <w:szCs w:val="28"/>
                <w:lang w:eastAsia="en-GB"/>
              </w:rPr>
              <w:t>Thực hiện theo Thông tư số 42/2025/TT-BYT ngày 14/11/2025 của Bộ trưởng Bộ Y tế quy định về tiêu chuẩn sức khỏe của người điều khiển phương tiện giao thông đường sắt.</w:t>
            </w:r>
          </w:p>
        </w:tc>
        <w:tc>
          <w:tcPr>
            <w:tcW w:w="3626" w:type="dxa"/>
          </w:tcPr>
          <w:p w14:paraId="386B4269" w14:textId="77777777" w:rsidR="00F04986" w:rsidRDefault="00F04986" w:rsidP="00B46F43">
            <w:pPr>
              <w:tabs>
                <w:tab w:val="left" w:pos="1641"/>
              </w:tabs>
              <w:rPr>
                <w:sz w:val="28"/>
                <w:szCs w:val="28"/>
                <w:lang w:eastAsia="en-GB"/>
              </w:rPr>
            </w:pPr>
            <w:r>
              <w:rPr>
                <w:sz w:val="28"/>
                <w:szCs w:val="28"/>
                <w:lang w:eastAsia="en-GB"/>
              </w:rPr>
              <w:t>Thực hiện theo Thông tư số 42/2025/TT-BYT ngày 14/11/2025.</w:t>
            </w:r>
          </w:p>
        </w:tc>
      </w:tr>
      <w:tr w:rsidR="00F04986" w14:paraId="60DCCBDA" w14:textId="77777777" w:rsidTr="00B46F43">
        <w:tc>
          <w:tcPr>
            <w:tcW w:w="959" w:type="dxa"/>
          </w:tcPr>
          <w:p w14:paraId="6A8440A9" w14:textId="77777777" w:rsidR="00F04986" w:rsidRDefault="00F04986" w:rsidP="00B46F43">
            <w:pPr>
              <w:tabs>
                <w:tab w:val="left" w:pos="1641"/>
              </w:tabs>
              <w:jc w:val="center"/>
              <w:rPr>
                <w:sz w:val="28"/>
                <w:szCs w:val="28"/>
              </w:rPr>
            </w:pPr>
            <w:r>
              <w:rPr>
                <w:sz w:val="28"/>
                <w:szCs w:val="28"/>
              </w:rPr>
              <w:t>11</w:t>
            </w:r>
          </w:p>
        </w:tc>
        <w:tc>
          <w:tcPr>
            <w:tcW w:w="2268" w:type="dxa"/>
          </w:tcPr>
          <w:p w14:paraId="6EB17865" w14:textId="77777777" w:rsidR="00F04986" w:rsidRDefault="00F04986" w:rsidP="00B46F43">
            <w:pPr>
              <w:tabs>
                <w:tab w:val="left" w:pos="1641"/>
              </w:tabs>
              <w:rPr>
                <w:sz w:val="28"/>
                <w:szCs w:val="28"/>
              </w:rPr>
            </w:pPr>
            <w:r>
              <w:rPr>
                <w:sz w:val="28"/>
                <w:szCs w:val="28"/>
                <w:lang w:eastAsia="en-GB"/>
              </w:rPr>
              <w:t>Thuyền viên</w:t>
            </w:r>
          </w:p>
        </w:tc>
        <w:tc>
          <w:tcPr>
            <w:tcW w:w="7654" w:type="dxa"/>
          </w:tcPr>
          <w:p w14:paraId="2964B533" w14:textId="77777777" w:rsidR="00F04986" w:rsidRDefault="00F04986" w:rsidP="00B46F43">
            <w:pPr>
              <w:tabs>
                <w:tab w:val="left" w:pos="1641"/>
              </w:tabs>
              <w:rPr>
                <w:iCs/>
                <w:sz w:val="28"/>
                <w:szCs w:val="28"/>
              </w:rPr>
            </w:pPr>
            <w:r>
              <w:rPr>
                <w:sz w:val="28"/>
                <w:szCs w:val="28"/>
                <w:lang w:eastAsia="en-GB"/>
              </w:rPr>
              <w:t>Thực hiện theo Thông tư số 22/2017/TT-BYT ngày 12/5/2017 của Bộ trưởng Bộ Y tế quy định tiêu chuẩn sức khỏe của thuyền viên làm việc trên tàu biển Việt Nam và công bố cơ sở khám sức khỏe cho thuyền viên.</w:t>
            </w:r>
          </w:p>
        </w:tc>
        <w:tc>
          <w:tcPr>
            <w:tcW w:w="3626" w:type="dxa"/>
          </w:tcPr>
          <w:p w14:paraId="17883EC5" w14:textId="77777777" w:rsidR="00F04986" w:rsidRDefault="00F04986" w:rsidP="00B46F43">
            <w:pPr>
              <w:tabs>
                <w:tab w:val="left" w:pos="1641"/>
              </w:tabs>
              <w:rPr>
                <w:sz w:val="28"/>
                <w:szCs w:val="28"/>
                <w:lang w:eastAsia="en-GB"/>
              </w:rPr>
            </w:pPr>
            <w:r>
              <w:rPr>
                <w:sz w:val="28"/>
                <w:szCs w:val="28"/>
                <w:lang w:eastAsia="en-GB"/>
              </w:rPr>
              <w:t>Thực hiện theo Thông tư số 22/2017/TT-BYT ngày 12/5/2017.</w:t>
            </w:r>
          </w:p>
        </w:tc>
      </w:tr>
    </w:tbl>
    <w:p w14:paraId="1185648E" w14:textId="77777777" w:rsidR="00F04986" w:rsidRPr="0097543A" w:rsidRDefault="00F04986" w:rsidP="00F04986">
      <w:pPr>
        <w:tabs>
          <w:tab w:val="left" w:pos="1641"/>
        </w:tabs>
      </w:pPr>
    </w:p>
    <w:p w14:paraId="70DA38DA" w14:textId="77777777" w:rsidR="00504AB1" w:rsidRDefault="00504AB1"/>
    <w:sectPr w:rsidR="00504AB1" w:rsidSect="00F04986">
      <w:pgSz w:w="16840" w:h="11907" w:orient="landscape" w:code="9"/>
      <w:pgMar w:top="993" w:right="1134"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86"/>
    <w:rsid w:val="00437EA8"/>
    <w:rsid w:val="00504AB1"/>
    <w:rsid w:val="00825A27"/>
    <w:rsid w:val="00F0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AA82"/>
  <w15:chartTrackingRefBased/>
  <w15:docId w15:val="{70BAEFD9-63AE-4D39-9B7E-5FFAE49B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98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498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98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98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98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498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498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498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498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498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986"/>
    <w:rPr>
      <w:rFonts w:eastAsiaTheme="majorEastAsia" w:cstheme="majorBidi"/>
      <w:color w:val="272727" w:themeColor="text1" w:themeTint="D8"/>
    </w:rPr>
  </w:style>
  <w:style w:type="paragraph" w:styleId="Title">
    <w:name w:val="Title"/>
    <w:basedOn w:val="Normal"/>
    <w:next w:val="Normal"/>
    <w:link w:val="TitleChar"/>
    <w:uiPriority w:val="10"/>
    <w:qFormat/>
    <w:rsid w:val="00F0498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4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98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98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4986"/>
    <w:rPr>
      <w:i/>
      <w:iCs/>
      <w:color w:val="404040" w:themeColor="text1" w:themeTint="BF"/>
    </w:rPr>
  </w:style>
  <w:style w:type="paragraph" w:styleId="ListParagraph">
    <w:name w:val="List Paragraph"/>
    <w:basedOn w:val="Normal"/>
    <w:uiPriority w:val="34"/>
    <w:qFormat/>
    <w:rsid w:val="00F0498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4986"/>
    <w:rPr>
      <w:i/>
      <w:iCs/>
      <w:color w:val="0F4761" w:themeColor="accent1" w:themeShade="BF"/>
    </w:rPr>
  </w:style>
  <w:style w:type="paragraph" w:styleId="IntenseQuote">
    <w:name w:val="Intense Quote"/>
    <w:basedOn w:val="Normal"/>
    <w:next w:val="Normal"/>
    <w:link w:val="IntenseQuoteChar"/>
    <w:uiPriority w:val="30"/>
    <w:qFormat/>
    <w:rsid w:val="00F0498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04986"/>
    <w:rPr>
      <w:i/>
      <w:iCs/>
      <w:color w:val="0F4761" w:themeColor="accent1" w:themeShade="BF"/>
    </w:rPr>
  </w:style>
  <w:style w:type="character" w:styleId="IntenseReference">
    <w:name w:val="Intense Reference"/>
    <w:basedOn w:val="DefaultParagraphFont"/>
    <w:uiPriority w:val="32"/>
    <w:qFormat/>
    <w:rsid w:val="00F049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NVY</dc:creator>
  <cp:keywords/>
  <dc:description/>
  <cp:lastModifiedBy>Toan NVY</cp:lastModifiedBy>
  <cp:revision>1</cp:revision>
  <dcterms:created xsi:type="dcterms:W3CDTF">2026-05-14T08:23:00Z</dcterms:created>
  <dcterms:modified xsi:type="dcterms:W3CDTF">2026-05-14T08:25:00Z</dcterms:modified>
</cp:coreProperties>
</file>